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772C3D">
        <w:rPr>
          <w:rFonts w:eastAsia="Times New Roman"/>
          <w:sz w:val="28"/>
          <w:szCs w:val="28"/>
        </w:rPr>
        <w:t>8</w:t>
      </w:r>
      <w:r w:rsidR="00D17EEA">
        <w:rPr>
          <w:rFonts w:eastAsia="Times New Roman"/>
          <w:sz w:val="28"/>
          <w:szCs w:val="28"/>
        </w:rPr>
        <w:t>98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A14A0C">
        <w:rPr>
          <w:sz w:val="28"/>
          <w:szCs w:val="28"/>
        </w:rPr>
        <w:t>5</w:t>
      </w:r>
      <w:r w:rsidR="00D17EEA">
        <w:rPr>
          <w:sz w:val="28"/>
          <w:szCs w:val="28"/>
        </w:rPr>
        <w:t>935-06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B87B1F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21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Салаватова Ислама Залинхановича, </w:t>
      </w:r>
      <w:r w:rsidR="00D51C8A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B87B1F" w:rsidP="00B87B1F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B87B1F" w:rsidP="00B87B1F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12.07.</w:t>
      </w:r>
      <w:r w:rsidR="00303E62">
        <w:rPr>
          <w:spacing w:val="-1"/>
          <w:sz w:val="28"/>
          <w:szCs w:val="28"/>
        </w:rPr>
        <w:t>202</w:t>
      </w:r>
      <w:r w:rsidR="00B87B1F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>ХМАО-Югра, Тюменская область, Сургутский район</w:t>
      </w:r>
      <w:r w:rsidR="00280760">
        <w:rPr>
          <w:sz w:val="28"/>
          <w:szCs w:val="28"/>
        </w:rPr>
        <w:t>,</w:t>
      </w:r>
      <w:r>
        <w:rPr>
          <w:sz w:val="28"/>
          <w:szCs w:val="28"/>
        </w:rPr>
        <w:t>г.Лянтор,мкр.</w:t>
      </w:r>
      <w:r w:rsidR="00D51C8A">
        <w:rPr>
          <w:sz w:val="28"/>
          <w:szCs w:val="28"/>
        </w:rPr>
        <w:t>***</w:t>
      </w:r>
      <w:r>
        <w:rPr>
          <w:sz w:val="28"/>
          <w:szCs w:val="28"/>
        </w:rPr>
        <w:t>Салаватов И.З.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500</w:t>
      </w:r>
      <w:r w:rsidR="00B87B1F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>
        <w:rPr>
          <w:spacing w:val="-1"/>
          <w:sz w:val="28"/>
          <w:szCs w:val="28"/>
        </w:rPr>
        <w:t>086230001921990</w:t>
      </w:r>
      <w:r w:rsidR="00B87B1F">
        <w:rPr>
          <w:spacing w:val="-1"/>
          <w:sz w:val="28"/>
          <w:szCs w:val="28"/>
        </w:rPr>
        <w:t xml:space="preserve"> от </w:t>
      </w:r>
      <w:r>
        <w:rPr>
          <w:spacing w:val="-1"/>
          <w:sz w:val="28"/>
          <w:szCs w:val="28"/>
        </w:rPr>
        <w:t>28</w:t>
      </w:r>
      <w:r w:rsidR="00280760">
        <w:rPr>
          <w:spacing w:val="-1"/>
          <w:sz w:val="28"/>
          <w:szCs w:val="28"/>
        </w:rPr>
        <w:t>.04.</w:t>
      </w:r>
      <w:r w:rsidR="00D8220C">
        <w:rPr>
          <w:spacing w:val="-1"/>
          <w:sz w:val="28"/>
          <w:szCs w:val="28"/>
        </w:rPr>
        <w:t>202</w:t>
      </w:r>
      <w:r w:rsidR="00B87B1F">
        <w:rPr>
          <w:spacing w:val="-1"/>
          <w:sz w:val="28"/>
          <w:szCs w:val="28"/>
        </w:rPr>
        <w:t>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D867F4"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12.9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Шарифуллин Д.И.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D867F4">
        <w:rPr>
          <w:sz w:val="28"/>
          <w:szCs w:val="28"/>
        </w:rPr>
        <w:t>судебная повестка</w:t>
      </w:r>
      <w:r w:rsidR="00AB0DFC">
        <w:rPr>
          <w:sz w:val="28"/>
          <w:szCs w:val="28"/>
        </w:rPr>
        <w:t xml:space="preserve"> вручен</w:t>
      </w:r>
      <w:r w:rsidR="00AD7C4D"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280760">
        <w:rPr>
          <w:spacing w:val="-1"/>
          <w:sz w:val="28"/>
          <w:szCs w:val="28"/>
        </w:rPr>
        <w:t xml:space="preserve">Шарифуллин Д.И. </w:t>
      </w:r>
      <w:r w:rsidR="00D8220C">
        <w:rPr>
          <w:spacing w:val="-1"/>
          <w:sz w:val="28"/>
          <w:szCs w:val="28"/>
        </w:rPr>
        <w:t>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280760">
        <w:rPr>
          <w:spacing w:val="-1"/>
          <w:sz w:val="28"/>
          <w:szCs w:val="28"/>
        </w:rPr>
        <w:t xml:space="preserve">Шарифуллина Д.И.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280760">
        <w:rPr>
          <w:spacing w:val="-1"/>
          <w:sz w:val="28"/>
          <w:szCs w:val="28"/>
        </w:rPr>
        <w:t xml:space="preserve">Шарифуллина Д.И.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427307">
        <w:rPr>
          <w:spacing w:val="-1"/>
          <w:sz w:val="28"/>
          <w:szCs w:val="28"/>
        </w:rPr>
        <w:t xml:space="preserve">№ 18810086230001921990 от 28.04.2025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736A2B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12.9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427307">
        <w:rPr>
          <w:rFonts w:eastAsia="Times New Roman"/>
          <w:sz w:val="28"/>
          <w:szCs w:val="28"/>
        </w:rPr>
        <w:t>500.00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</w:t>
      </w:r>
      <w:r>
        <w:rPr>
          <w:color w:val="000000"/>
          <w:spacing w:val="1"/>
          <w:sz w:val="28"/>
          <w:szCs w:val="28"/>
        </w:rPr>
        <w:t>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427307">
        <w:rPr>
          <w:color w:val="000000"/>
          <w:sz w:val="28"/>
          <w:szCs w:val="28"/>
        </w:rPr>
        <w:t>Салаватова И.З. 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B87B1F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Салаватова Ислама Залинхановича</w:t>
      </w:r>
      <w:r w:rsidR="00280760">
        <w:rPr>
          <w:spacing w:val="-1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280760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9338D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9338D7">
        <w:rPr>
          <w:sz w:val="28"/>
          <w:szCs w:val="28"/>
        </w:rPr>
        <w:t>00,00</w:t>
      </w:r>
      <w:r>
        <w:rPr>
          <w:sz w:val="28"/>
          <w:szCs w:val="28"/>
        </w:rPr>
        <w:t xml:space="preserve"> /</w:t>
      </w:r>
      <w:r w:rsidR="009338D7">
        <w:rPr>
          <w:sz w:val="28"/>
          <w:szCs w:val="28"/>
        </w:rPr>
        <w:t>одна тысяча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="00427307">
        <w:rPr>
          <w:spacing w:val="-1"/>
          <w:sz w:val="28"/>
          <w:szCs w:val="28"/>
        </w:rPr>
        <w:t xml:space="preserve">Салаватову И.З.,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</w:t>
      </w:r>
      <w:r w:rsidRPr="00210DD1">
        <w:rPr>
          <w:spacing w:val="1"/>
          <w:sz w:val="28"/>
          <w:szCs w:val="28"/>
        </w:rPr>
        <w:t>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772C3D">
        <w:rPr>
          <w:sz w:val="28"/>
          <w:szCs w:val="28"/>
        </w:rPr>
        <w:t>8</w:t>
      </w:r>
      <w:r w:rsidR="00427307">
        <w:rPr>
          <w:sz w:val="28"/>
          <w:szCs w:val="28"/>
        </w:rPr>
        <w:t>982520159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2C3D">
        <w:rPr>
          <w:spacing w:val="1"/>
          <w:sz w:val="28"/>
          <w:szCs w:val="28"/>
        </w:rPr>
        <w:t>8</w:t>
      </w:r>
      <w:r w:rsidR="00427307">
        <w:rPr>
          <w:spacing w:val="1"/>
          <w:sz w:val="28"/>
          <w:szCs w:val="28"/>
        </w:rPr>
        <w:t>98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F7112" w:rsidP="00B87B1F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87B1F" w:rsidP="008F7112">
      <w:pPr>
        <w:jc w:val="both"/>
        <w:rPr>
          <w:sz w:val="28"/>
          <w:szCs w:val="28"/>
        </w:rPr>
      </w:pPr>
    </w:p>
    <w:p w:rsidR="00AD7C4D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С.В. Михеева</w:t>
      </w:r>
    </w:p>
    <w:sectPr w:rsidSect="00B87B1F">
      <w:type w:val="continuous"/>
      <w:pgSz w:w="11909" w:h="16834"/>
      <w:pgMar w:top="568" w:right="710" w:bottom="36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BF9"/>
    <w:rsid w:val="000A50D2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307"/>
    <w:rsid w:val="00427703"/>
    <w:rsid w:val="00435871"/>
    <w:rsid w:val="0044000F"/>
    <w:rsid w:val="00443BDE"/>
    <w:rsid w:val="004506D1"/>
    <w:rsid w:val="00450BCF"/>
    <w:rsid w:val="00456C4E"/>
    <w:rsid w:val="00457B70"/>
    <w:rsid w:val="0046324B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25FF"/>
    <w:rsid w:val="00BF3B7E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17EEA"/>
    <w:rsid w:val="00D234D3"/>
    <w:rsid w:val="00D2467E"/>
    <w:rsid w:val="00D27DBF"/>
    <w:rsid w:val="00D42981"/>
    <w:rsid w:val="00D43BA1"/>
    <w:rsid w:val="00D47572"/>
    <w:rsid w:val="00D5173E"/>
    <w:rsid w:val="00D51C8A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C1189-001C-4CB3-BB19-9D734C17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